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E3" w:rsidRPr="003167E3" w:rsidRDefault="003167E3" w:rsidP="003167E3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3167E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Минфин разъяснил, в каком случае ИП должен получить новый патент при увеличении численности наемных работников</w:t>
      </w:r>
    </w:p>
    <w:p w:rsidR="003167E3" w:rsidRPr="003167E3" w:rsidRDefault="003167E3" w:rsidP="003167E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67E3"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Увеличение количества наемных работников у индивидуального предпринимателя, </w:t>
      </w:r>
      <w:hyperlink r:id="rId4" w:tgtFrame="_blank" w:history="1">
        <w:r w:rsidRPr="003167E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применяющего патентную систему налогообложения</w:t>
        </w:r>
      </w:hyperlink>
      <w:r w:rsidRPr="003167E3">
        <w:rPr>
          <w:rFonts w:ascii="Times New Roman" w:eastAsia="Times New Roman" w:hAnsi="Times New Roman" w:cs="Times New Roman"/>
          <w:color w:val="333333"/>
          <w:sz w:val="24"/>
          <w:szCs w:val="24"/>
        </w:rPr>
        <w:t>, не всегда приводит к необходимости оформления нового патента. Такой вывод следует из письма Минфина России </w:t>
      </w:r>
      <w:hyperlink r:id="rId5" w:tgtFrame="_blank" w:history="1">
        <w:r w:rsidRPr="003167E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06.12.17 № 03-11-12/81019</w:t>
        </w:r>
      </w:hyperlink>
      <w:r w:rsidRPr="003167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167E3" w:rsidRPr="003167E3" w:rsidRDefault="003167E3" w:rsidP="003167E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67E3">
        <w:rPr>
          <w:rFonts w:ascii="Times New Roman" w:eastAsia="Times New Roman" w:hAnsi="Times New Roman" w:cs="Times New Roman"/>
          <w:color w:val="333333"/>
          <w:sz w:val="24"/>
          <w:szCs w:val="24"/>
        </w:rPr>
        <w:t>Как известно, при введении патентной системы налогообложения субъекты РФ вправе установить размер потенциально возможного к получению годового дохода в зависимости от средней численности наемных работников индивидуального предпринимателя. Об этом сказано в подпункте 3 пункта 8 статьи </w:t>
      </w:r>
      <w:hyperlink r:id="rId6" w:anchor="h12874" w:tgtFrame="_blank" w:history="1">
        <w:r w:rsidRPr="003167E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346.43</w:t>
        </w:r>
      </w:hyperlink>
      <w:r w:rsidRPr="003167E3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РФ.</w:t>
      </w:r>
    </w:p>
    <w:p w:rsidR="003167E3" w:rsidRPr="003167E3" w:rsidRDefault="003167E3" w:rsidP="003167E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6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 течение года ИП может нанять дополнительных работников. Но, если в результате этого средняя численность работников в целом за налоговый период (год) осталась в допустимых пределах (например, количество работников увеличилось с 9 до 12 при допустимом пределе в 15 человек), </w:t>
      </w:r>
      <w:proofErr w:type="gramStart"/>
      <w:r w:rsidRPr="003167E3">
        <w:rPr>
          <w:rFonts w:ascii="Times New Roman" w:eastAsia="Times New Roman" w:hAnsi="Times New Roman" w:cs="Times New Roman"/>
          <w:color w:val="333333"/>
          <w:sz w:val="24"/>
          <w:szCs w:val="24"/>
        </w:rPr>
        <w:t>то</w:t>
      </w:r>
      <w:proofErr w:type="gramEnd"/>
      <w:r w:rsidRPr="003167E3">
        <w:rPr>
          <w:rFonts w:ascii="Times New Roman" w:eastAsia="Times New Roman" w:hAnsi="Times New Roman" w:cs="Times New Roman"/>
          <w:color w:val="333333"/>
          <w:sz w:val="24"/>
          <w:szCs w:val="24"/>
        </w:rPr>
        <w:t> как полагают в Минфине, новый патент получать не нужно.</w:t>
      </w:r>
    </w:p>
    <w:p w:rsidR="004F5C60" w:rsidRDefault="004F5C60"/>
    <w:sectPr w:rsidR="004F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7E3"/>
    <w:rsid w:val="003167E3"/>
    <w:rsid w:val="004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1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6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03855&amp;promocode=0957" TargetMode="External"/><Relationship Id="rId5" Type="http://schemas.openxmlformats.org/officeDocument/2006/relationships/hyperlink" Target="https://www.buhonline.ru/Files/Modules/Publication/13005/%d0%9f%d0%b8%d1%81%d1%8c%d0%bc%d0%be%20%d0%9c%d0%b8%d0%bd%d1%84%d0%b8%d0%bd%d0%b0.doc?t=1513673155" TargetMode="External"/><Relationship Id="rId4" Type="http://schemas.openxmlformats.org/officeDocument/2006/relationships/hyperlink" Target="https://www.buhonline.ru/pub/beginner/2013/1/6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2018-01-23T09:54:00Z</dcterms:created>
  <dcterms:modified xsi:type="dcterms:W3CDTF">2018-01-23T09:55:00Z</dcterms:modified>
</cp:coreProperties>
</file>